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7C179">
      <w:pPr>
        <w:adjustRightInd w:val="0"/>
        <w:snapToGrid w:val="0"/>
        <w:spacing w:line="288" w:lineRule="auto"/>
        <w:jc w:val="center"/>
        <w:rPr>
          <w:rFonts w:hint="eastAsia" w:ascii="方正小标宋简体" w:hAnsi="宋体" w:eastAsia="方正小标宋简体" w:cstheme="minorBidi"/>
          <w:bCs/>
          <w:color w:val="000000"/>
          <w:sz w:val="44"/>
          <w:szCs w:val="44"/>
        </w:rPr>
      </w:pPr>
      <w:r>
        <w:rPr>
          <w:rFonts w:hint="eastAsia" w:ascii="方正小标宋简体" w:hAnsi="宋体" w:eastAsia="方正小标宋简体" w:cstheme="minorBidi"/>
          <w:bCs/>
          <w:color w:val="000000"/>
          <w:sz w:val="44"/>
          <w:szCs w:val="44"/>
        </w:rPr>
        <w:t>指数收益凭证在财富管理服务中的应用</w:t>
      </w:r>
    </w:p>
    <w:p w14:paraId="38C0227B">
      <w:pPr>
        <w:adjustRightInd w:val="0"/>
        <w:snapToGrid w:val="0"/>
        <w:spacing w:line="288" w:lineRule="auto"/>
        <w:jc w:val="center"/>
        <w:rPr>
          <w:rFonts w:hint="eastAsia" w:ascii="方正小标宋简体" w:hAnsi="宋体" w:eastAsia="方正小标宋简体" w:cstheme="minorBidi"/>
          <w:bCs/>
          <w:color w:val="000000"/>
          <w:sz w:val="44"/>
          <w:szCs w:val="44"/>
        </w:rPr>
      </w:pPr>
      <w:r>
        <w:rPr>
          <w:rFonts w:hint="eastAsia" w:ascii="方正小标宋简体" w:hAnsi="宋体" w:eastAsia="方正小标宋简体" w:cstheme="minorBidi"/>
          <w:bCs/>
          <w:color w:val="000000"/>
          <w:sz w:val="44"/>
          <w:szCs w:val="44"/>
        </w:rPr>
        <w:t>——国信证券运用指数收益凭证案例介绍</w:t>
      </w:r>
    </w:p>
    <w:p w14:paraId="7CEB09ED">
      <w:pPr>
        <w:adjustRightInd w:val="0"/>
        <w:snapToGrid w:val="0"/>
        <w:spacing w:line="288" w:lineRule="auto"/>
        <w:jc w:val="center"/>
        <w:rPr>
          <w:rFonts w:hint="eastAsia" w:ascii="方正小标宋简体" w:hAnsi="宋体" w:eastAsia="方正小标宋简体" w:cstheme="minorBidi"/>
          <w:bCs/>
          <w:color w:val="000000"/>
          <w:sz w:val="44"/>
          <w:szCs w:val="44"/>
        </w:rPr>
      </w:pPr>
    </w:p>
    <w:p w14:paraId="66DC875A">
      <w:pPr>
        <w:adjustRightInd w:val="0"/>
        <w:snapToGrid w:val="0"/>
        <w:spacing w:line="355" w:lineRule="auto"/>
        <w:rPr>
          <w:rFonts w:hint="eastAsia" w:ascii="黑体" w:hAnsi="黑体" w:eastAsia="黑体" w:cstheme="minorBidi"/>
          <w:snapToGrid w:val="0"/>
          <w:kern w:val="0"/>
          <w:sz w:val="32"/>
          <w:szCs w:val="32"/>
        </w:rPr>
      </w:pPr>
      <w:r>
        <w:rPr>
          <w:rFonts w:hint="eastAsia" w:ascii="黑体" w:hAnsi="黑体" w:eastAsia="黑体" w:cstheme="minorBidi"/>
          <w:snapToGrid w:val="0"/>
          <w:kern w:val="0"/>
          <w:sz w:val="32"/>
          <w:szCs w:val="32"/>
        </w:rPr>
        <w:t>一、</w:t>
      </w:r>
      <w:r>
        <w:rPr>
          <w:rFonts w:hint="eastAsia" w:ascii="黑体" w:hAnsi="黑体" w:eastAsia="黑体" w:cstheme="minorBidi"/>
          <w:snapToGrid w:val="0"/>
          <w:kern w:val="0"/>
          <w:sz w:val="32"/>
          <w:szCs w:val="32"/>
          <w:lang w:val="en-US" w:eastAsia="zh-CN"/>
        </w:rPr>
        <w:t>背景</w:t>
      </w:r>
      <w:r>
        <w:rPr>
          <w:rFonts w:hint="eastAsia" w:ascii="黑体" w:hAnsi="黑体" w:eastAsia="黑体" w:cstheme="minorBidi"/>
          <w:snapToGrid w:val="0"/>
          <w:kern w:val="0"/>
          <w:sz w:val="32"/>
          <w:szCs w:val="32"/>
        </w:rPr>
        <w:t>介绍</w:t>
      </w:r>
    </w:p>
    <w:p w14:paraId="1DCF1700">
      <w:pPr>
        <w:adjustRightInd w:val="0"/>
        <w:snapToGrid w:val="0"/>
        <w:spacing w:line="350" w:lineRule="auto"/>
        <w:ind w:firstLine="640" w:firstLineChars="200"/>
        <w:rPr>
          <w:rFonts w:hint="eastAsia" w:ascii="仿宋_GB2312" w:eastAsia="仿宋_GB2312" w:hAnsiTheme="minorHAnsi" w:cstheme="minorBidi"/>
          <w:snapToGrid w:val="0"/>
          <w:kern w:val="0"/>
          <w:sz w:val="32"/>
          <w:szCs w:val="32"/>
          <w:lang w:eastAsia="zh-Hans"/>
        </w:rPr>
      </w:pPr>
      <w:r>
        <w:rPr>
          <w:rFonts w:hint="eastAsia" w:ascii="仿宋_GB2312" w:eastAsia="仿宋_GB2312" w:hAnsiTheme="minorHAnsi" w:cstheme="minorBidi"/>
          <w:snapToGrid w:val="0"/>
          <w:kern w:val="0"/>
          <w:sz w:val="32"/>
          <w:szCs w:val="32"/>
          <w:lang w:eastAsia="zh-Hans"/>
        </w:rPr>
        <w:t>2023年，国信证券浙江分公司在服务当地企业客户过程中敏锐捕捉到市场需求：区域内大量企业存在闲置资金现金管理需求，亟需专业机构提供定制化、高适配性的现金管理及投资服务方案。这一需求与国信证券长期深耕大湾区资本市场的资源禀赋形成良性呼应——作为根植粤港澳大湾区、辐射全国的综合型券商，国信证券自2022年起</w:t>
      </w:r>
      <w:bookmarkStart w:id="0" w:name="_GoBack"/>
      <w:bookmarkEnd w:id="0"/>
      <w:r>
        <w:rPr>
          <w:rFonts w:hint="eastAsia" w:ascii="仿宋_GB2312" w:eastAsia="仿宋_GB2312" w:hAnsiTheme="minorHAnsi" w:cstheme="minorBidi"/>
          <w:snapToGrid w:val="0"/>
          <w:kern w:val="0"/>
          <w:sz w:val="32"/>
          <w:szCs w:val="32"/>
          <w:lang w:eastAsia="zh-Hans"/>
        </w:rPr>
        <w:t>便以“中债-国信证券深圳市国有企业信用债精选指数”为核心工具，构建起“指数研发—产品创新—生态服务”的全链条服务体系，为此次需求对接埋下了关键伏笔。</w:t>
      </w:r>
    </w:p>
    <w:p w14:paraId="27C0F4C1">
      <w:pPr>
        <w:adjustRightInd w:val="0"/>
        <w:snapToGrid w:val="0"/>
        <w:spacing w:line="355" w:lineRule="auto"/>
        <w:rPr>
          <w:rFonts w:hint="eastAsia" w:ascii="黑体" w:hAnsi="黑体" w:eastAsia="黑体" w:cstheme="minorBidi"/>
          <w:snapToGrid w:val="0"/>
          <w:kern w:val="0"/>
          <w:sz w:val="32"/>
          <w:szCs w:val="32"/>
        </w:rPr>
      </w:pPr>
      <w:r>
        <w:rPr>
          <w:rFonts w:hint="eastAsia" w:ascii="黑体" w:hAnsi="黑体" w:eastAsia="黑体" w:cstheme="minorBidi"/>
          <w:snapToGrid w:val="0"/>
          <w:kern w:val="0"/>
          <w:sz w:val="32"/>
          <w:szCs w:val="32"/>
        </w:rPr>
        <w:t>二、产品构建与发展过程</w:t>
      </w:r>
    </w:p>
    <w:p w14:paraId="634B06CB">
      <w:pPr>
        <w:adjustRightInd w:val="0"/>
        <w:snapToGrid w:val="0"/>
        <w:spacing w:line="350" w:lineRule="auto"/>
        <w:ind w:firstLine="640" w:firstLineChars="200"/>
        <w:rPr>
          <w:rFonts w:ascii="仿宋_GB2312" w:eastAsia="仿宋_GB2312" w:hAnsiTheme="minorHAnsi" w:cstheme="minorBidi"/>
          <w:snapToGrid w:val="0"/>
          <w:kern w:val="0"/>
          <w:sz w:val="32"/>
          <w:szCs w:val="32"/>
          <w:lang w:eastAsia="zh-Hans"/>
        </w:rPr>
      </w:pPr>
      <w:r>
        <w:rPr>
          <w:rFonts w:hint="eastAsia" w:ascii="仿宋_GB2312" w:eastAsia="仿宋_GB2312" w:hAnsiTheme="minorHAnsi" w:cstheme="minorBidi"/>
          <w:snapToGrid w:val="0"/>
          <w:kern w:val="0"/>
          <w:sz w:val="32"/>
          <w:szCs w:val="32"/>
          <w:lang w:eastAsia="zh-Hans"/>
        </w:rPr>
        <w:t>早在2022年，国信证券便聚焦大湾区国资国企融资需求与市场投资诉求的双向痛点，研发推出“中债-国信证券深圳市国有企业信用债精选指数”。该指数以深圳市国资委实际控制的15家优质国企信用债为成分券，覆盖基建、能源、科技等大湾区核心产业领域，成为全国首个精准定位大湾区国资信用债的标杆性指数。基于该指数的底层支撑，国信证券围绕企业现金管理与投资者配置需求，逐步构建起覆盖多场景的服务产品矩阵，先后推出指数收益互换产品、中国外汇交易中心深圳国资债券篮子及湾区企业科创债篮子，为投资者提供灵活的指数化投资工具，满足其对流动性、期限匹配的差异化需求。</w:t>
      </w:r>
    </w:p>
    <w:p w14:paraId="50508904">
      <w:pPr>
        <w:adjustRightInd w:val="0"/>
        <w:snapToGrid w:val="0"/>
        <w:spacing w:line="350" w:lineRule="auto"/>
        <w:ind w:firstLine="640" w:firstLineChars="200"/>
        <w:rPr>
          <w:rFonts w:ascii="仿宋_GB2312" w:eastAsia="仿宋_GB2312" w:hAnsiTheme="minorHAnsi" w:cstheme="minorBidi"/>
          <w:snapToGrid w:val="0"/>
          <w:kern w:val="0"/>
          <w:sz w:val="32"/>
          <w:szCs w:val="32"/>
          <w:lang w:eastAsia="zh-Hans"/>
        </w:rPr>
      </w:pPr>
      <w:r>
        <w:rPr>
          <w:rFonts w:hint="eastAsia" w:ascii="仿宋_GB2312" w:eastAsia="仿宋_GB2312" w:hAnsiTheme="minorHAnsi" w:cstheme="minorBidi"/>
          <w:snapToGrid w:val="0"/>
          <w:kern w:val="0"/>
          <w:sz w:val="32"/>
          <w:szCs w:val="32"/>
          <w:lang w:eastAsia="zh-Hans"/>
        </w:rPr>
        <w:t>2023年底，针对企业客户的现金管理痛点，国信证券进一步推出挂钩该指数的证券公司收益凭证，将企业闲置资金以低成本、高效率的方式导入大湾区国企债券市场——企业作为投资者，可获得指数对应的稳健收益，而金融机构则通过专业化的资产配置与风险管控能力，将社会闲置资金精准滴灌至湾区基建、科技等重点领域的国企，反哺实体经济发展。</w:t>
      </w:r>
    </w:p>
    <w:p w14:paraId="31C5DEF1">
      <w:pPr>
        <w:adjustRightInd w:val="0"/>
        <w:snapToGrid w:val="0"/>
        <w:spacing w:line="355" w:lineRule="auto"/>
        <w:rPr>
          <w:rFonts w:hint="eastAsia" w:ascii="黑体" w:hAnsi="黑体" w:eastAsia="黑体" w:cstheme="minorBidi"/>
          <w:snapToGrid w:val="0"/>
          <w:kern w:val="0"/>
          <w:sz w:val="32"/>
          <w:szCs w:val="32"/>
          <w:lang w:val="en-US" w:eastAsia="zh-CN"/>
        </w:rPr>
      </w:pPr>
      <w:r>
        <w:rPr>
          <w:rFonts w:hint="eastAsia" w:ascii="黑体" w:hAnsi="黑体" w:eastAsia="黑体" w:cstheme="minorBidi"/>
          <w:snapToGrid w:val="0"/>
          <w:kern w:val="0"/>
          <w:sz w:val="32"/>
          <w:szCs w:val="32"/>
          <w:lang w:val="en-US" w:eastAsia="zh-CN"/>
        </w:rPr>
        <w:t>三、产品亮点</w:t>
      </w:r>
    </w:p>
    <w:p w14:paraId="08DFA09F">
      <w:pPr>
        <w:adjustRightInd w:val="0"/>
        <w:snapToGrid w:val="0"/>
        <w:spacing w:line="350" w:lineRule="auto"/>
        <w:ind w:firstLine="640" w:firstLineChars="200"/>
        <w:rPr>
          <w:rFonts w:hint="eastAsia" w:ascii="仿宋_GB2312" w:eastAsia="仿宋_GB2312" w:hAnsiTheme="minorHAnsi" w:cstheme="minorBidi"/>
          <w:snapToGrid w:val="0"/>
          <w:kern w:val="0"/>
          <w:sz w:val="32"/>
          <w:szCs w:val="32"/>
          <w:lang w:eastAsia="zh-Hans"/>
        </w:rPr>
      </w:pPr>
      <w:r>
        <w:rPr>
          <w:rFonts w:hint="eastAsia" w:ascii="仿宋_GB2312" w:eastAsia="仿宋_GB2312" w:hAnsiTheme="minorHAnsi" w:cstheme="minorBidi"/>
          <w:snapToGrid w:val="0"/>
          <w:kern w:val="0"/>
          <w:sz w:val="32"/>
          <w:szCs w:val="32"/>
          <w:lang w:eastAsia="zh-Hans"/>
        </w:rPr>
        <w:t>这一服务方案以“债券投资交易+指数创新+收益凭证”为驱动，形成了“社会资金低成本集聚—精准支持湾区国企—反哺实体经济—投资者获得稳健收益”的良性循环。对湾区国资企业而言，通过资金注入获得了低成本、精准的流动性支持，进一步深化了企业与区域经济的绑定；对投资者而言，借助指数化产品降低了参与大湾区国资债投资的门槛，依托标准化、透明化的投资标的满足了多元化配置需求；对证券公司业务而言，国信证券在企业客户服务领域的市场认可度持续提升，有效带动了债券业务、财富管理业务的协同增长。通过定制化设计，</w:t>
      </w:r>
      <w:r>
        <w:rPr>
          <w:rFonts w:hint="eastAsia" w:ascii="仿宋_GB2312" w:eastAsia="仿宋_GB2312" w:hAnsiTheme="minorHAnsi" w:cstheme="minorBidi"/>
          <w:snapToGrid w:val="0"/>
          <w:kern w:val="0"/>
          <w:sz w:val="32"/>
          <w:szCs w:val="32"/>
          <w:lang w:val="en-US" w:eastAsia="zh-CN"/>
        </w:rPr>
        <w:t>该产品</w:t>
      </w:r>
      <w:r>
        <w:rPr>
          <w:rFonts w:hint="eastAsia" w:ascii="仿宋_GB2312" w:eastAsia="仿宋_GB2312" w:hAnsiTheme="minorHAnsi" w:cstheme="minorBidi"/>
          <w:snapToGrid w:val="0"/>
          <w:kern w:val="0"/>
          <w:sz w:val="32"/>
          <w:szCs w:val="32"/>
          <w:lang w:eastAsia="zh-Hans"/>
        </w:rPr>
        <w:t>为企业闲置资金提供了高效配置工具，有助于激活大湾区国企信用债市场流动性，并助力投资者通过指数化投资分享区域发展红利。</w:t>
      </w:r>
    </w:p>
    <w:p w14:paraId="2EC71D6F">
      <w:pPr>
        <w:adjustRightInd w:val="0"/>
        <w:snapToGrid w:val="0"/>
        <w:spacing w:line="350" w:lineRule="auto"/>
        <w:ind w:firstLine="640" w:firstLineChars="200"/>
        <w:rPr>
          <w:rFonts w:ascii="仿宋_GB2312" w:eastAsia="仿宋_GB2312" w:hAnsiTheme="minorHAnsi" w:cstheme="minorBidi"/>
          <w:snapToGrid w:val="0"/>
          <w:kern w:val="0"/>
          <w:sz w:val="32"/>
          <w:szCs w:val="32"/>
          <w:lang w:eastAsia="zh-Hans"/>
        </w:rPr>
      </w:pPr>
      <w:r>
        <w:rPr>
          <w:rFonts w:hint="eastAsia" w:ascii="仿宋_GB2312" w:eastAsia="仿宋_GB2312" w:hAnsiTheme="minorHAnsi" w:cstheme="minorBidi"/>
          <w:snapToGrid w:val="0"/>
          <w:kern w:val="0"/>
          <w:sz w:val="32"/>
          <w:szCs w:val="32"/>
          <w:lang w:eastAsia="zh-Hans"/>
        </w:rPr>
        <w:t>截至目前，国信证券已累计发行挂钩该指数的收益凭证约80亿元，带动深圳市国有企业信用债做市交易量超过110亿元，为客户提供了多元化资产配置选择。目前，挂钩该指数的收益凭证已覆盖国信证券全部分公司销售网络，共有来自13个省份的43家机构及企业参与投资配置，其中包括5家金融机构、29家上市公司及9家非上市公司。国信证券已累计为客户兑付收益超6000万元，让全国各地的投资者切实分享到粤港澳大湾区建设发展的成果。</w:t>
      </w:r>
    </w:p>
    <w:p w14:paraId="27E95861">
      <w:pPr>
        <w:adjustRightInd w:val="0"/>
        <w:snapToGrid w:val="0"/>
        <w:spacing w:line="355" w:lineRule="auto"/>
        <w:rPr>
          <w:rFonts w:hint="eastAsia" w:ascii="黑体" w:hAnsi="黑体" w:eastAsia="黑体" w:cstheme="minorBidi"/>
          <w:snapToGrid w:val="0"/>
          <w:kern w:val="0"/>
          <w:sz w:val="32"/>
          <w:szCs w:val="32"/>
        </w:rPr>
      </w:pPr>
      <w:r>
        <w:rPr>
          <w:rFonts w:hint="eastAsia" w:ascii="黑体" w:hAnsi="黑体" w:eastAsia="黑体" w:cstheme="minorBidi"/>
          <w:snapToGrid w:val="0"/>
          <w:kern w:val="0"/>
          <w:sz w:val="32"/>
          <w:szCs w:val="32"/>
          <w:lang w:val="en-US" w:eastAsia="zh-CN"/>
        </w:rPr>
        <w:t>四、</w:t>
      </w:r>
      <w:r>
        <w:rPr>
          <w:rFonts w:hint="eastAsia" w:ascii="黑体" w:hAnsi="黑体" w:eastAsia="黑体" w:cstheme="minorBidi"/>
          <w:snapToGrid w:val="0"/>
          <w:kern w:val="0"/>
          <w:sz w:val="32"/>
          <w:szCs w:val="32"/>
        </w:rPr>
        <w:t>产品意义与未来展望</w:t>
      </w:r>
    </w:p>
    <w:p w14:paraId="33982DD7">
      <w:pPr>
        <w:adjustRightInd w:val="0"/>
        <w:snapToGrid w:val="0"/>
        <w:spacing w:line="350" w:lineRule="auto"/>
        <w:ind w:firstLine="640" w:firstLineChars="200"/>
        <w:rPr>
          <w:rFonts w:ascii="仿宋_GB2312" w:eastAsia="仿宋_GB2312" w:hAnsiTheme="minorHAnsi" w:cstheme="minorBidi"/>
          <w:snapToGrid w:val="0"/>
          <w:kern w:val="0"/>
          <w:sz w:val="32"/>
          <w:szCs w:val="32"/>
          <w:lang w:eastAsia="zh-Hans"/>
        </w:rPr>
      </w:pPr>
      <w:r>
        <w:rPr>
          <w:rFonts w:hint="eastAsia" w:ascii="仿宋_GB2312" w:eastAsia="仿宋_GB2312" w:hAnsiTheme="minorHAnsi" w:cstheme="minorBidi"/>
          <w:snapToGrid w:val="0"/>
          <w:kern w:val="0"/>
          <w:sz w:val="32"/>
          <w:szCs w:val="32"/>
          <w:lang w:eastAsia="zh-Hans"/>
        </w:rPr>
        <w:t>国信证券推出的“中债-国信证券深圳市国有企业信用债精选指数”收益凭证，创新性地突破了传统财富管理服务的局限，构建起综合金融服务的新载体。该产品通过双重路径实现金融赋能：一方面拓展券商固收业务的金融服务边界，另一方面依托指数编制精准引导市场资金流向国家战略领域，有效履行了国有金融机构服务实体经济的责任担当。这一创新实践不仅显著提升了深圳国资企业在资本市场的品牌溢价能力，更通过定制化产品结构与柔性服务机制，为机构和企业投资者提供了高度适配的优质资产配置选择，成功激活了投融资双向循环，成为服务国家战略的生动</w:t>
      </w:r>
      <w:r>
        <w:rPr>
          <w:rFonts w:hint="eastAsia" w:ascii="仿宋_GB2312" w:eastAsia="仿宋_GB2312" w:hAnsiTheme="minorHAnsi" w:cstheme="minorBidi"/>
          <w:snapToGrid w:val="0"/>
          <w:kern w:val="0"/>
          <w:sz w:val="32"/>
          <w:szCs w:val="32"/>
        </w:rPr>
        <w:t>实践</w:t>
      </w:r>
      <w:r>
        <w:rPr>
          <w:rFonts w:hint="eastAsia" w:ascii="仿宋_GB2312" w:eastAsia="仿宋_GB2312" w:hAnsiTheme="minorHAnsi" w:cstheme="minorBidi"/>
          <w:snapToGrid w:val="0"/>
          <w:kern w:val="0"/>
          <w:sz w:val="32"/>
          <w:szCs w:val="32"/>
          <w:lang w:eastAsia="zh-Hans"/>
        </w:rPr>
        <w:t>。</w:t>
      </w:r>
    </w:p>
    <w:p w14:paraId="54EBDE1D">
      <w:pPr>
        <w:adjustRightInd w:val="0"/>
        <w:snapToGrid w:val="0"/>
        <w:spacing w:line="350" w:lineRule="auto"/>
        <w:ind w:firstLine="640" w:firstLineChars="200"/>
        <w:rPr>
          <w:rFonts w:ascii="仿宋_GB2312" w:eastAsia="仿宋_GB2312" w:hAnsiTheme="minorHAnsi" w:cstheme="minorBidi"/>
          <w:snapToGrid w:val="0"/>
          <w:kern w:val="0"/>
          <w:sz w:val="32"/>
          <w:szCs w:val="32"/>
          <w:lang w:eastAsia="zh-Hans"/>
        </w:rPr>
      </w:pPr>
      <w:r>
        <w:rPr>
          <w:rFonts w:hint="eastAsia" w:ascii="仿宋_GB2312" w:eastAsia="仿宋_GB2312" w:hAnsiTheme="minorHAnsi" w:cstheme="minorBidi"/>
          <w:snapToGrid w:val="0"/>
          <w:kern w:val="0"/>
          <w:sz w:val="32"/>
          <w:szCs w:val="32"/>
          <w:lang w:eastAsia="zh-Hans"/>
        </w:rPr>
        <w:t>国信</w:t>
      </w:r>
      <w:r>
        <w:rPr>
          <w:rFonts w:hint="eastAsia" w:ascii="仿宋_GB2312" w:eastAsia="仿宋_GB2312" w:hAnsiTheme="minorHAnsi" w:cstheme="minorBidi"/>
          <w:snapToGrid w:val="0"/>
          <w:kern w:val="0"/>
          <w:sz w:val="32"/>
          <w:szCs w:val="32"/>
          <w:lang w:val="en-US" w:eastAsia="zh-CN"/>
        </w:rPr>
        <w:t>证券</w:t>
      </w:r>
      <w:r>
        <w:rPr>
          <w:rFonts w:hint="eastAsia" w:ascii="仿宋_GB2312" w:eastAsia="仿宋_GB2312" w:hAnsiTheme="minorHAnsi" w:cstheme="minorBidi"/>
          <w:snapToGrid w:val="0"/>
          <w:kern w:val="0"/>
          <w:sz w:val="32"/>
          <w:szCs w:val="32"/>
          <w:lang w:eastAsia="zh-Hans"/>
        </w:rPr>
        <w:t>将</w:t>
      </w:r>
      <w:r>
        <w:rPr>
          <w:rFonts w:hint="eastAsia" w:ascii="仿宋_GB2312" w:eastAsia="仿宋_GB2312" w:hAnsiTheme="minorHAnsi" w:cstheme="minorBidi"/>
          <w:snapToGrid w:val="0"/>
          <w:kern w:val="0"/>
          <w:sz w:val="32"/>
          <w:szCs w:val="32"/>
          <w:lang w:val="en-US" w:eastAsia="zh-CN"/>
        </w:rPr>
        <w:t>始终</w:t>
      </w:r>
      <w:r>
        <w:rPr>
          <w:rFonts w:hint="eastAsia" w:ascii="仿宋_GB2312" w:eastAsia="仿宋_GB2312" w:hAnsiTheme="minorHAnsi" w:cstheme="minorBidi"/>
          <w:snapToGrid w:val="0"/>
          <w:kern w:val="0"/>
          <w:sz w:val="32"/>
          <w:szCs w:val="32"/>
          <w:lang w:eastAsia="zh-Hans"/>
        </w:rPr>
        <w:t>围绕</w:t>
      </w:r>
      <w:r>
        <w:rPr>
          <w:rFonts w:hint="eastAsia" w:ascii="仿宋_GB2312" w:eastAsia="仿宋_GB2312" w:hAnsiTheme="minorHAnsi" w:cstheme="minorBidi"/>
          <w:snapToGrid w:val="0"/>
          <w:kern w:val="0"/>
          <w:sz w:val="32"/>
          <w:szCs w:val="32"/>
          <w:lang w:val="en-US" w:eastAsia="zh-CN"/>
        </w:rPr>
        <w:t>金融</w:t>
      </w:r>
      <w:r>
        <w:rPr>
          <w:rFonts w:hint="eastAsia" w:ascii="仿宋_GB2312" w:eastAsia="仿宋_GB2312" w:hAnsiTheme="minorHAnsi" w:cstheme="minorBidi"/>
          <w:snapToGrid w:val="0"/>
          <w:kern w:val="0"/>
          <w:sz w:val="32"/>
          <w:szCs w:val="32"/>
          <w:lang w:eastAsia="zh-Hans"/>
        </w:rPr>
        <w:t>“五篇大文章”战略方向，持续深化指数生态建设：一方面，通过丰富指数产品矩阵，聚焦科技金融、绿色金融等领域，继续开发科创主题指数、地区性主题指数等特色品种，积极响应、精准匹配国家战略导向。另一方面，通过强化场外工具与标准产品联动，依托证券公司的研究与策略开发优势，开发“固收+”、大类资产配置等指数，完善指数生态建设，实现“指数开发—场外工具—财富管理”闭环，满足普通投资者、银行理财、养老金、保险资金等不同资金属性对稳健收益资产的个性化需求</w:t>
      </w:r>
      <w:r>
        <w:rPr>
          <w:rFonts w:hint="eastAsia" w:ascii="仿宋_GB2312" w:eastAsia="仿宋_GB2312" w:hAnsiTheme="minorHAnsi" w:cstheme="minorBidi"/>
          <w:snapToGrid w:val="0"/>
          <w:kern w:val="0"/>
          <w:sz w:val="32"/>
          <w:szCs w:val="32"/>
          <w:lang w:eastAsia="zh-CN"/>
        </w:rPr>
        <w:t>。</w:t>
      </w:r>
      <w:r>
        <w:rPr>
          <w:rFonts w:hint="eastAsia" w:ascii="仿宋_GB2312" w:eastAsia="仿宋_GB2312" w:hAnsiTheme="minorHAnsi" w:cstheme="minorBidi"/>
          <w:snapToGrid w:val="0"/>
          <w:kern w:val="0"/>
          <w:sz w:val="32"/>
          <w:szCs w:val="32"/>
          <w:lang w:val="en-US" w:eastAsia="zh-CN"/>
        </w:rPr>
        <w:t>同时，将持续</w:t>
      </w:r>
      <w:r>
        <w:rPr>
          <w:rFonts w:hint="eastAsia" w:ascii="仿宋_GB2312" w:eastAsia="仿宋_GB2312" w:hAnsiTheme="minorHAnsi" w:cstheme="minorBidi"/>
          <w:snapToGrid w:val="0"/>
          <w:kern w:val="0"/>
          <w:sz w:val="32"/>
          <w:szCs w:val="32"/>
          <w:lang w:eastAsia="zh-Hans"/>
        </w:rPr>
        <w:t>以专业能力为核心驱动，在资产端与资金端架设高效桥梁，为投资者参与科技金融、绿色金融、普惠金融、养老金融、数字金融等提供全生命周期服务，强化金融服务实体经济的枢纽功能，书写金融服务实体经济的高质量答卷。</w:t>
      </w:r>
    </w:p>
    <w:p w14:paraId="77B4DE11">
      <w:pPr>
        <w:spacing w:line="560" w:lineRule="exact"/>
        <w:ind w:firstLine="640" w:firstLineChars="200"/>
        <w:rPr>
          <w:rFonts w:hint="eastAsia" w:ascii="仿宋_GB2312" w:hAnsi="宋体" w:eastAsia="仿宋_GB2312" w:cstheme="minorBidi"/>
          <w:sz w:val="32"/>
          <w:szCs w:val="32"/>
        </w:rPr>
      </w:pPr>
    </w:p>
    <w:p w14:paraId="591C2440"/>
    <w:p w14:paraId="61C71A3C">
      <w:pPr>
        <w:adjustRightInd w:val="0"/>
        <w:snapToGrid w:val="0"/>
        <w:spacing w:line="350" w:lineRule="auto"/>
        <w:ind w:firstLine="640" w:firstLineChars="200"/>
        <w:rPr>
          <w:rFonts w:hint="eastAsia" w:ascii="仿宋_GB2312" w:eastAsia="仿宋_GB2312" w:hAnsiTheme="minorHAnsi" w:cstheme="minorBidi"/>
          <w:snapToGrid w:val="0"/>
          <w:kern w:val="0"/>
          <w:sz w:val="32"/>
          <w:szCs w:val="32"/>
          <w:lang w:eastAsia="zh-Hans"/>
        </w:rPr>
      </w:pPr>
    </w:p>
    <w:p w14:paraId="78DC7233">
      <w:pPr>
        <w:adjustRightInd w:val="0"/>
        <w:snapToGrid w:val="0"/>
        <w:spacing w:line="350" w:lineRule="auto"/>
        <w:ind w:firstLine="640" w:firstLineChars="200"/>
        <w:rPr>
          <w:rFonts w:ascii="仿宋_GB2312" w:eastAsia="仿宋_GB2312" w:hAnsiTheme="minorHAnsi" w:cstheme="minorBidi"/>
          <w:snapToGrid w:val="0"/>
          <w:kern w:val="0"/>
          <w:sz w:val="32"/>
          <w:szCs w:val="32"/>
          <w:lang w:eastAsia="zh-Hans"/>
        </w:rPr>
      </w:pPr>
    </w:p>
    <w:p w14:paraId="65F620E8">
      <w:pPr>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C0AA8"/>
    <w:rsid w:val="01E43B06"/>
    <w:rsid w:val="0FB104C7"/>
    <w:rsid w:val="11811943"/>
    <w:rsid w:val="19B91BAD"/>
    <w:rsid w:val="2A0030AB"/>
    <w:rsid w:val="30ED53AB"/>
    <w:rsid w:val="36CA3A99"/>
    <w:rsid w:val="3AE27603"/>
    <w:rsid w:val="604A33D1"/>
    <w:rsid w:val="66D41C46"/>
    <w:rsid w:val="6C1C0317"/>
    <w:rsid w:val="74D27DEE"/>
    <w:rsid w:val="759C0AA8"/>
    <w:rsid w:val="75E76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1852</Words>
  <Characters>1874</Characters>
  <Lines>0</Lines>
  <Paragraphs>0</Paragraphs>
  <TotalTime>9</TotalTime>
  <ScaleCrop>false</ScaleCrop>
  <LinksUpToDate>false</LinksUpToDate>
  <CharactersWithSpaces>1874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2025-10-27T08:22:00Z</dcterms:created>
  <dc:creator>YDM</dc:creator>
  <cp:lastModifiedBy>YDM</cp:lastModifiedBy>
  <dcterms:modified xsi:type="dcterms:W3CDTF">2025-10-28T09:02:42Z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49E37E05829E4EF3B258C56B0B3DD3E9_11</vt:lpwstr>
  </property>
  <property fmtid="{D5CDD505-2E9C-101B-9397-08002B2CF9AE}" pid="4" name="KSOTemplateDocerSaveRecord">
    <vt:lpwstr>eyJoZGlkIjoiOGI5MDkxMjgwNmYzYmM4YWVkNDg0ODI1Njk0OWRhMWQiLCJ1c2VySWQiOiIyMzkyMzIyNzIifQ==</vt:lpwstr>
  </property>
</Properties>
</file>